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</w:rPr>
        <w:t>SCHPN - zápis ze 6. jednání výboru dne 15. 5. 202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3</w:t>
      </w:r>
      <w:r>
        <w:rPr>
          <w:b/>
        </w:rPr>
        <w:t xml:space="preserve">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v Plané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/>
      </w:pPr>
      <w:r>
        <w:rPr/>
        <w:t xml:space="preserve">Přítomni: </w:t>
      </w:r>
      <w:r>
        <w:rPr>
          <w:b/>
          <w:bCs/>
        </w:rPr>
        <w:t>L, J, M</w:t>
      </w:r>
      <w:r>
        <w:rPr/>
        <w:t xml:space="preserve">,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Program: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Výstava Brno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Zkoušky výkonnosti Krevlický Dvůr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Hlášení o narození hříbat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Výstavy koní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Různé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1. Výstava Brno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Výstava hospodářských zvířat v Brně proběhla od 22. do 26. 4. 2023. Z chladnokrevných plemen se účastnilo 15 koní, z toho 2 ČMB, 1 SN a 12 koní plemene český norik. Výbor děkuje všem aktivním účastníkům za prezentaci chladnokrevných koní a jejich předvádění na vysoké chovatelské úrovni.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>Divácky atraktivní bylo předvádění hříbat u nohy klisny, ukázka různých stylů zápřeže i předvedení koní v historických zemědělských strojích. Příjemným zpestřením programu i ukázkou využitelnosti a charakteru koní byla i velmi pěkná čtverylka pod sedlem.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Ad. 2. Zkoušky výkonnosti Krevlický Dvůr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Zkoušky byly tradičně velmi dobře připraveny a měly bezproblémový průběh. Nedostatkem bylo odstoupení dvou klisen ČMB pro nepřipravenost, takže nakonec úspěšně absolvovaly pouze 2 klisny, z toho jedna ČMB a jedna N.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Rada plemenné knihy upozorňuje chovatele i pořadatele zkoušek na nutnost dodržování Metodiky ASCHK (z 19. 9. 2011) pro pořádání ZV klisen, podle které se mají zájemci přihlásit nejpozději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3 týdny předem včetně zaplacení startovného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a nejpozději týden před zkouškou má být organizátorem zveřejněn konečný seznam koní přihlášených na ZV. Minimální požadovaný počet koní pro konání zkoušky je 5. Písemnou smlouvu s pořadatelem zkoušek uzavírá ASCHK.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>Do seznamu zkoušek výkonnosti klisen byl doplněn termín 21. 7. 2023 na statku Štíhlov v okrese Klatovy. Členy komise budou Maršálek, Zasadil a Pernička.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3. Hlášení o narození hříbat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Podle podkladů ÚEK bylo v loňském roce zapuštěno 105 klisen českého norika. Lze tedy očekávat narození asi 55 N hříbat.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Chovatel má povinnost oznámit do 30 dnů narození hříběte a ve věku hříběte vhodném pro jeho registraci a označení (kolem 5 měsíců) musí být hříbě zaregistrováno do 28 dnů od vyzvání k jeho označení ze strany chovatele. Předpokládáme, že první kolo registrací proběhne počátkem července tak, abychom minimalizovali cestovné hrazené chovatelem.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Ke dnešnímu dni máme informace o narození 20 N hříbat. Není nutné posílat poštou hlášení o narození hříběte, stačí ho ofotit a poslat mailem nebo jen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poslat mailem informaci o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datu narození hříběte, jeho pohlaví, původu ze strany otce a matky a jméno a adresu chovatele včetně telefonu nebo mailu.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4. Výstavy koní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Výstavy koní kterých by se měli zúčastnit N koně proběhnou v letošním roce na následujících místech: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Dubina (K. Vary) – 8.7.,  Písek – 28. 7.,  Č. Budějovice – 24. až 29.8.,  Lysá n/L – 22. až 24.9.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Žádáme zájemce o účast na těchto výstavách, aby se hlásili u organizátorů výstav s uvedením seznamu koní, kteří se výstavy zúčastní.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S ohledem na aktuální opatření vlády ČR  a snížení dotací v oblasti zemědělství o 10,2 miliardy Kč mohou v pořádání výstav nastat ještě změny z hlediska proplacení nákladů. O případných změnách budeme chovatele informovat.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Na základě výsledků v minulých ročnících nepředpokládáme účast chovatelské kolekce N koní na výstavě v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Pardubicích (9. až10. 9.)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a očekáváme účast N koní pouze v soutěži v tahu, popřípadě v orbě. Pokud bude mít někdo zájem se účastnit chovatelské výstavy tříletých klisen nebo hříbat pod klisnou, žádáme o včasnou informaci, abychom mohli upozornit organizátora výstavy, kterým je Svaz chovatelů chladnokrevných koní. Kategorii koní plemene český norik má smysl otevřít při počtu nejméně 5 klisen nebo 5 hříbat.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5. Různé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Dne 28. 4. se konal svod a zápis klisen v Bezvěrově. Byly změřeny a zapsány 4 N klisny. RPK N považuje takový zápis za velmi vhodný, protože umožňuje vzájemné porovnání kvality jednotlivých koní a divákům se vyplatí se svodu účastnit a udělat si představu o posuzování koní při zápisu. Podobnou možností je i zápis klisen ráno před zkouškami výkonnosti. Klisna českého norika, která neabsolvuje zkoušky výkonnosti, může být podle šlechtitelského programu zapsána jen do pomocné plemenné knihy klisen.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Dne 27. 5. proběhne na Školním lesním podniku ČZU v Kostelci nad Černými lesy „Den otevřených bran“.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M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byl požádán o přednášku na téma Využití chladnokrevných koní při práci v lese.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Vedení LČR posoudilo žádost Svazu o příspěvek na podporu chovu koní českého norika a schválilo pro letošní rok podporu ve výši 100 000 Kč. Smlouva mezi LČR a Svazem bude podepsána v následujících dnech.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52"/>
        <w:ind w:left="720" w:hanging="0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character" w:styleId="Navtveninternetovodkaz">
    <w:name w:val="FollowedHyperlink"/>
    <w:rPr>
      <w:color w:val="800000"/>
      <w:u w:val="single"/>
      <w:lang w:val="zxx" w:eastAsia="zxx" w:bidi="zxx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DefaultParagraphFont">
    <w:name w:val="Default Paragraph Font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706</TotalTime>
  <Application>LibreOffice/7.4.1.2$Windows_X86_64 LibreOffice_project/3c58a8f3a960df8bc8fd77b461821e42c061c5f0</Application>
  <AppVersion>15.0000</AppVersion>
  <Pages>2</Pages>
  <Words>695</Words>
  <Characters>3696</Characters>
  <CharactersWithSpaces>4383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2023-05-15T14:14:56Z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