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>
          <w:b/>
        </w:rPr>
        <w:t xml:space="preserve">SCHPN - zápis z 1. jednání výboru dne 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9</w:t>
      </w:r>
      <w:r>
        <w:rPr>
          <w:b/>
        </w:rPr>
        <w:t>. 1. 202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3</w:t>
      </w:r>
      <w:r>
        <w:rPr>
          <w:b/>
        </w:rPr>
        <w:t xml:space="preserve"> v </w:t>
      </w:r>
      <w:r>
        <w:rPr>
          <w:rFonts w:eastAsia="NSimSun" w:cs="Arial"/>
          <w:b/>
          <w:color w:val="auto"/>
          <w:kern w:val="2"/>
          <w:sz w:val="24"/>
          <w:szCs w:val="24"/>
          <w:lang w:val="cs-CZ" w:eastAsia="zh-CN" w:bidi="hi-IN"/>
        </w:rPr>
        <w:t>Plané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/>
      </w:pPr>
      <w:r>
        <w:rPr/>
        <w:t xml:space="preserve">Přítomni: </w:t>
      </w:r>
      <w:r>
        <w:rPr>
          <w:b/>
          <w:bCs/>
        </w:rPr>
        <w:t>L, J, M</w:t>
      </w:r>
      <w:r>
        <w:rPr/>
        <w:t>,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Program: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Kontrola úkolů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shd w:fill="auto" w:val="clear"/>
        </w:rPr>
        <w:t>Příprava členské schůze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Různé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Ad 1. </w:t>
      </w:r>
      <w:r>
        <w:rPr>
          <w:rFonts w:eastAsia="NSimSun" w:cs="Arial"/>
          <w:b/>
          <w:bCs/>
          <w:color w:val="000000"/>
          <w:kern w:val="2"/>
          <w:sz w:val="24"/>
          <w:szCs w:val="24"/>
          <w:shd w:fill="auto" w:val="clear"/>
          <w:lang w:val="cs-CZ" w:eastAsia="zh-CN" w:bidi="hi-IN"/>
        </w:rPr>
        <w:t>Umístění hřebce 1445 Streit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Na základě rozhodnutí RPK N bude hřebec umístěn na stanici Lomnice u Rýmařova u paní Juráňové.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rFonts w:ascii="Liberation Serif" w:hAnsi="Liberation Serif" w:eastAsia="Calibri" w:cs="Times New Roman"/>
          <w:b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Ad 2. </w:t>
      </w:r>
      <w:r>
        <w:rPr>
          <w:rFonts w:eastAsia="NSimSun" w:cs="Arial"/>
          <w:b/>
          <w:bCs/>
          <w:color w:val="000000"/>
          <w:kern w:val="2"/>
          <w:sz w:val="24"/>
          <w:szCs w:val="24"/>
          <w:shd w:fill="auto" w:val="clear"/>
          <w:lang w:val="cs-CZ" w:eastAsia="zh-CN" w:bidi="hi-IN"/>
        </w:rPr>
        <w:t>Příprava členské schůze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Byly projednány materiály k jednání ČS dne 14. 1. 2023. Výbor rozhodl o vytvoření Kontrolní komise Svazu. Tento bod bude doplněn do programu ČS.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Ad 3. Různé</w:t>
      </w:r>
    </w:p>
    <w:p>
      <w:pPr>
        <w:pStyle w:val="Normal"/>
        <w:numPr>
          <w:ilvl w:val="0"/>
          <w:numId w:val="4"/>
        </w:numPr>
        <w:bidi w:val="0"/>
        <w:jc w:val="both"/>
        <w:rPr>
          <w:b/>
          <w:b/>
          <w:bCs/>
        </w:rPr>
      </w:pPr>
      <w:r>
        <w:rPr>
          <w:b/>
          <w:bCs/>
        </w:rPr>
        <w:t>Žádost o licenci hřebců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Do počátku letošního roku (k 5. 1. 2023) nepožádali o licenci hřebce na letošní rok majitelé 19 hřebců českého norika z celkového počtu 37 hřebců evidovaných v roce 2022.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>Podle finančního řádu ASCHK je poplatek na žádost o licenci hřebce podanou po začátku roku dvojnásobný.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/>
          <w:b/>
          <w:bCs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ab/>
        <w:t xml:space="preserve">Abychom předešli podobnému nedopatření, žádá RPK N, aby majitelé hřebců poslali v letošním roce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shd w:fill="auto" w:val="clear"/>
          <w:lang w:val="cs-CZ" w:eastAsia="en-US" w:bidi="ar-SA"/>
        </w:rPr>
        <w:t>žádost o licenci hřebce na rok 2024 Radě plemenné knihy českého norika do data 15. 12. 2023.</w:t>
      </w: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cs-CZ" w:eastAsia="en-US" w:bidi="ar-SA"/>
        </w:rPr>
        <w:t xml:space="preserve"> RPK předá tento požadavek po posouzení potřebnosti hřebců na ASCHK, která majitelům hřebců vydá připouštěcí rejstříky.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LibreOffice/7.4.1.2$Windows_X86_64 LibreOffice_project/3c58a8f3a960df8bc8fd77b461821e42c061c5f0</Application>
  <AppVersion>15.0000</AppVersion>
  <Pages>1</Pages>
  <Words>178</Words>
  <Characters>884</Characters>
  <CharactersWithSpaces>1048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2023-01-09T09:32:52Z</dcterms:created>
  <dc:creator/>
  <dc:description/>
  <dc:language>cs-CZ</dc:language>
  <cp:lastModifiedBy/>
  <dcterms:modified xsi:type="dcterms:W3CDTF">2023-01-09T14:14:51Z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