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B8" w:rsidRPr="007877D9" w:rsidRDefault="002278AA" w:rsidP="00EE5F02">
      <w:pPr>
        <w:jc w:val="center"/>
        <w:rPr>
          <w:b/>
        </w:rPr>
      </w:pPr>
      <w:bookmarkStart w:id="0" w:name="_GoBack"/>
      <w:bookmarkEnd w:id="0"/>
      <w:r w:rsidRPr="007877D9">
        <w:rPr>
          <w:b/>
        </w:rPr>
        <w:t>Vyhodnocení šlechtitelského programu norických koní za rok 2018</w:t>
      </w:r>
    </w:p>
    <w:p w:rsidR="007877D9" w:rsidRDefault="007877D9"/>
    <w:p w:rsidR="007877D9" w:rsidRDefault="007877D9" w:rsidP="007877D9">
      <w:pPr>
        <w:pStyle w:val="Nadpis2"/>
        <w:ind w:firstLine="708"/>
        <w:jc w:val="both"/>
        <w:rPr>
          <w:b w:val="0"/>
        </w:rPr>
      </w:pPr>
      <w:r>
        <w:rPr>
          <w:b w:val="0"/>
        </w:rPr>
        <w:t xml:space="preserve">V roce 2018 připravovala Rada plemenné knihy norika k projednání a schválení návrh úpravy Řádu plemenné knihy tak aby byl v souladu se současnými požadavky na norického koně a se situací požadující odlišení norického koně od slezského norika, který je v České republice veden jako genetický živočišný zdroj. Součástí Řádu plemenné knihy je i Šlechtitelský program, v němž jsou podrobně charakterizovány jednotlivé kroky šlechtění plemene. </w:t>
      </w:r>
    </w:p>
    <w:p w:rsidR="007877D9" w:rsidRPr="007877D9" w:rsidRDefault="007877D9" w:rsidP="007877D9">
      <w:pPr>
        <w:ind w:firstLine="708"/>
        <w:jc w:val="both"/>
      </w:pPr>
      <w:r>
        <w:t xml:space="preserve">Přestože lze očekávat, že bude nutné zpracovat pro jednotlivá plemena nové Řády plemenných knih v návaznosti na platnost legislativy </w:t>
      </w:r>
      <w:proofErr w:type="gramStart"/>
      <w:r>
        <w:t xml:space="preserve">EU, </w:t>
      </w:r>
      <w:r w:rsidR="00D84898">
        <w:t xml:space="preserve"> předpokládáme</w:t>
      </w:r>
      <w:proofErr w:type="gramEnd"/>
      <w:r>
        <w:t xml:space="preserve"> že </w:t>
      </w:r>
      <w:r w:rsidR="00D84898">
        <w:t>požadavky šlechtitelského programu a jednotlivé šlechtitelské postupy nezaznamenají významnější odlišnosti od zpracovaného návrhu.</w:t>
      </w:r>
    </w:p>
    <w:p w:rsidR="007877D9" w:rsidRDefault="00D84898" w:rsidP="00D84898">
      <w:pPr>
        <w:pStyle w:val="Nadpis2"/>
        <w:ind w:firstLine="708"/>
        <w:jc w:val="both"/>
        <w:rPr>
          <w:b w:val="0"/>
        </w:rPr>
      </w:pPr>
      <w:r>
        <w:rPr>
          <w:b w:val="0"/>
        </w:rPr>
        <w:t>Podle tohoto návrhu je c</w:t>
      </w:r>
      <w:r w:rsidR="007877D9">
        <w:rPr>
          <w:b w:val="0"/>
        </w:rPr>
        <w:t xml:space="preserve">hovným cílem </w:t>
      </w:r>
      <w:r>
        <w:rPr>
          <w:b w:val="0"/>
        </w:rPr>
        <w:t>norika</w:t>
      </w:r>
      <w:r w:rsidR="007877D9">
        <w:rPr>
          <w:b w:val="0"/>
        </w:rPr>
        <w:t xml:space="preserve"> chladnokrevný kůň, dospívající ve čtyřech letech stáří, mírně delšího rámce, s dobrým </w:t>
      </w:r>
      <w:proofErr w:type="spellStart"/>
      <w:r w:rsidR="007877D9">
        <w:rPr>
          <w:b w:val="0"/>
        </w:rPr>
        <w:t>osvalením</w:t>
      </w:r>
      <w:proofErr w:type="spellEnd"/>
      <w:r w:rsidR="007877D9">
        <w:rPr>
          <w:b w:val="0"/>
        </w:rPr>
        <w:t>.</w:t>
      </w:r>
    </w:p>
    <w:p w:rsidR="007877D9" w:rsidRDefault="007877D9" w:rsidP="00E407B0">
      <w:pPr>
        <w:pStyle w:val="Zkladntext"/>
      </w:pPr>
      <w:r>
        <w:t xml:space="preserve"> </w:t>
      </w:r>
      <w:r w:rsidR="00D84898">
        <w:tab/>
      </w:r>
      <w:r>
        <w:t xml:space="preserve">Hlava těžší, mohutná, s výrazným okem, </w:t>
      </w:r>
      <w:r w:rsidRPr="00C300AE">
        <w:t>rovná,</w:t>
      </w:r>
      <w:r>
        <w:t xml:space="preserve"> možný mírný </w:t>
      </w:r>
      <w:proofErr w:type="spellStart"/>
      <w:r>
        <w:t>poloklabonos</w:t>
      </w:r>
      <w:proofErr w:type="spellEnd"/>
      <w:r>
        <w:t xml:space="preserve">, krk středně dlouhý, středně vysoko nasazený s mírně výrazným kohoutkem, dobře úhlovaná až strmější lopatka, prostorný, středně hluboký, delší a oválný hrudník, se středně dlouhou volnější horní linií, středně dlouhá pevná bedra, mohutná, středně široká a dlouhá, oválná, mírně štěpená a svažitá záď. Fundament silný, kostnatý, suchý, s menším výskytem rousů, kopyta pevná, pružná, dobře utvářená. Klouby </w:t>
      </w:r>
      <w:r w:rsidRPr="00C300AE">
        <w:t>výrazné suché,</w:t>
      </w:r>
      <w:r>
        <w:t xml:space="preserve"> spěnka kratší, pevná.</w:t>
      </w:r>
    </w:p>
    <w:p w:rsidR="007877D9" w:rsidRDefault="007877D9" w:rsidP="00E407B0">
      <w:pPr>
        <w:spacing w:before="120"/>
        <w:jc w:val="both"/>
      </w:pPr>
      <w:r>
        <w:t xml:space="preserve"> </w:t>
      </w:r>
      <w:r w:rsidR="00D84898">
        <w:tab/>
      </w:r>
      <w:r>
        <w:t xml:space="preserve">Pracovitý a dobře ovladatelný kůň přiměřeného temperamentu, dobrého charakteru, dobře </w:t>
      </w:r>
      <w:proofErr w:type="spellStart"/>
      <w:r>
        <w:t>živitelný</w:t>
      </w:r>
      <w:proofErr w:type="spellEnd"/>
      <w:r>
        <w:t>, pohyblivý, se středně prostornými chody.</w:t>
      </w:r>
    </w:p>
    <w:p w:rsidR="007877D9" w:rsidRDefault="007877D9" w:rsidP="00E407B0">
      <w:pPr>
        <w:autoSpaceDE w:val="0"/>
        <w:jc w:val="both"/>
      </w:pPr>
    </w:p>
    <w:p w:rsidR="002D6F20" w:rsidRPr="00EE5F02" w:rsidRDefault="00D84898" w:rsidP="00EE5F02">
      <w:pPr>
        <w:autoSpaceDE w:val="0"/>
        <w:jc w:val="both"/>
      </w:pPr>
      <w:r>
        <w:t>Barevně jsou noričtí koně p</w:t>
      </w:r>
      <w:r w:rsidR="007877D9">
        <w:t xml:space="preserve">řevážně hnědáci až tmaví hnědáci a ryzáci až tmaví ryzáci, omezeně vraníci a sporadicky </w:t>
      </w:r>
      <w:proofErr w:type="spellStart"/>
      <w:r w:rsidR="007877D9">
        <w:t>nevybělující</w:t>
      </w:r>
      <w:proofErr w:type="spellEnd"/>
      <w:r w:rsidR="007877D9">
        <w:t xml:space="preserve"> bělouši. </w:t>
      </w:r>
      <w:r>
        <w:t>Vyskytují se u nich</w:t>
      </w:r>
      <w:r w:rsidR="007877D9">
        <w:t xml:space="preserve"> bíl</w:t>
      </w:r>
      <w:r>
        <w:t>é</w:t>
      </w:r>
      <w:r w:rsidR="007877D9">
        <w:t xml:space="preserve"> odznak</w:t>
      </w:r>
      <w:r>
        <w:t>y</w:t>
      </w:r>
      <w:r w:rsidR="007877D9">
        <w:t xml:space="preserve"> na hlavě a končetinách. Kůže </w:t>
      </w:r>
      <w:r>
        <w:t xml:space="preserve">je </w:t>
      </w:r>
      <w:r w:rsidR="007877D9">
        <w:t xml:space="preserve">tmavě pigmentovaná. </w:t>
      </w:r>
    </w:p>
    <w:p w:rsidR="002D6F20" w:rsidRDefault="002D6F20" w:rsidP="002D6F20">
      <w:pPr>
        <w:autoSpaceDE w:val="0"/>
        <w:spacing w:before="120"/>
        <w:jc w:val="center"/>
      </w:pPr>
      <w:r>
        <w:rPr>
          <w:color w:val="000000"/>
        </w:rPr>
        <w:t xml:space="preserve">Tabulka 1: </w:t>
      </w:r>
      <w:r w:rsidR="007877D9">
        <w:rPr>
          <w:color w:val="000000"/>
        </w:rPr>
        <w:t>Minimální tělesné míry</w:t>
      </w:r>
      <w:r>
        <w:rPr>
          <w:color w:val="000000"/>
        </w:rPr>
        <w:t xml:space="preserve"> norických koní</w:t>
      </w:r>
      <w:r w:rsidR="007877D9">
        <w:rPr>
          <w:color w:val="000000"/>
        </w:rPr>
        <w:t xml:space="preserve"> při zápisu do plemenné </w:t>
      </w:r>
      <w:r w:rsidR="007877D9" w:rsidRPr="00C300AE">
        <w:rPr>
          <w:color w:val="000000"/>
        </w:rPr>
        <w:t>knihy</w:t>
      </w:r>
    </w:p>
    <w:p w:rsidR="007877D9" w:rsidRPr="002D6F20" w:rsidRDefault="007877D9" w:rsidP="002D6F20">
      <w:pPr>
        <w:autoSpaceDE w:val="0"/>
        <w:spacing w:before="120"/>
        <w:jc w:val="both"/>
        <w:rPr>
          <w:color w:val="000000"/>
        </w:rPr>
      </w:pPr>
      <w:r w:rsidRPr="00C300AE"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361"/>
        <w:gridCol w:w="2239"/>
        <w:gridCol w:w="2239"/>
      </w:tblGrid>
      <w:tr w:rsidR="007877D9" w:rsidRPr="00C52A6A" w:rsidTr="002D6F20">
        <w:tc>
          <w:tcPr>
            <w:tcW w:w="2252" w:type="dxa"/>
            <w:shd w:val="clear" w:color="auto" w:fill="auto"/>
          </w:tcPr>
          <w:p w:rsidR="007877D9" w:rsidRPr="00C52A6A" w:rsidRDefault="007877D9" w:rsidP="00E407B0">
            <w:pPr>
              <w:spacing w:before="12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Hřebci 2,5 roku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Hřebci 3,5 roku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Klisny 3 roky</w:t>
            </w:r>
          </w:p>
        </w:tc>
      </w:tr>
      <w:tr w:rsidR="007877D9" w:rsidRPr="00C52A6A" w:rsidTr="002D6F20">
        <w:tc>
          <w:tcPr>
            <w:tcW w:w="2252" w:type="dxa"/>
            <w:shd w:val="clear" w:color="auto" w:fill="auto"/>
          </w:tcPr>
          <w:p w:rsidR="007877D9" w:rsidRPr="00C52A6A" w:rsidRDefault="007877D9" w:rsidP="00E407B0">
            <w:pPr>
              <w:spacing w:before="120"/>
              <w:jc w:val="both"/>
            </w:pPr>
            <w:r w:rsidRPr="00C52A6A">
              <w:t>KVP (cm)</w:t>
            </w:r>
          </w:p>
        </w:tc>
        <w:tc>
          <w:tcPr>
            <w:tcW w:w="2392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166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170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165</w:t>
            </w:r>
          </w:p>
        </w:tc>
      </w:tr>
      <w:tr w:rsidR="007877D9" w:rsidRPr="00C52A6A" w:rsidTr="002D6F20">
        <w:tc>
          <w:tcPr>
            <w:tcW w:w="2252" w:type="dxa"/>
            <w:shd w:val="clear" w:color="auto" w:fill="auto"/>
          </w:tcPr>
          <w:p w:rsidR="007877D9" w:rsidRPr="00C52A6A" w:rsidRDefault="007877D9" w:rsidP="00E407B0">
            <w:pPr>
              <w:spacing w:before="120"/>
              <w:jc w:val="both"/>
            </w:pPr>
            <w:r w:rsidRPr="00C52A6A">
              <w:t>KVH (cm)</w:t>
            </w:r>
          </w:p>
        </w:tc>
        <w:tc>
          <w:tcPr>
            <w:tcW w:w="2392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156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158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155</w:t>
            </w:r>
          </w:p>
        </w:tc>
      </w:tr>
      <w:tr w:rsidR="007877D9" w:rsidRPr="00C52A6A" w:rsidTr="002D6F20">
        <w:tc>
          <w:tcPr>
            <w:tcW w:w="2252" w:type="dxa"/>
            <w:shd w:val="clear" w:color="auto" w:fill="auto"/>
          </w:tcPr>
          <w:p w:rsidR="007877D9" w:rsidRPr="00C52A6A" w:rsidRDefault="007877D9" w:rsidP="00E407B0">
            <w:pPr>
              <w:spacing w:before="120"/>
              <w:jc w:val="both"/>
            </w:pPr>
            <w:r w:rsidRPr="00C52A6A">
              <w:t>Obvod hrudi (cm)</w:t>
            </w:r>
          </w:p>
        </w:tc>
        <w:tc>
          <w:tcPr>
            <w:tcW w:w="2392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187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192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192</w:t>
            </w:r>
          </w:p>
        </w:tc>
      </w:tr>
      <w:tr w:rsidR="007877D9" w:rsidRPr="00C52A6A" w:rsidTr="002D6F20">
        <w:tc>
          <w:tcPr>
            <w:tcW w:w="2252" w:type="dxa"/>
            <w:shd w:val="clear" w:color="auto" w:fill="auto"/>
          </w:tcPr>
          <w:p w:rsidR="007877D9" w:rsidRPr="00C52A6A" w:rsidRDefault="007877D9" w:rsidP="00E407B0">
            <w:pPr>
              <w:spacing w:before="120"/>
              <w:jc w:val="both"/>
            </w:pPr>
            <w:r w:rsidRPr="00C52A6A">
              <w:t>Obvod holeně (cm)</w:t>
            </w:r>
          </w:p>
        </w:tc>
        <w:tc>
          <w:tcPr>
            <w:tcW w:w="2392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23,5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24</w:t>
            </w:r>
          </w:p>
        </w:tc>
        <w:tc>
          <w:tcPr>
            <w:tcW w:w="2268" w:type="dxa"/>
            <w:shd w:val="clear" w:color="auto" w:fill="auto"/>
          </w:tcPr>
          <w:p w:rsidR="007877D9" w:rsidRPr="00C52A6A" w:rsidRDefault="007877D9" w:rsidP="00EE5F02">
            <w:pPr>
              <w:spacing w:before="120"/>
              <w:jc w:val="center"/>
            </w:pPr>
            <w:r w:rsidRPr="00C52A6A">
              <w:t>23</w:t>
            </w:r>
          </w:p>
        </w:tc>
      </w:tr>
    </w:tbl>
    <w:p w:rsidR="00BA6ABF" w:rsidRDefault="00BA6ABF" w:rsidP="00EE5F02">
      <w:pPr>
        <w:jc w:val="both"/>
        <w:rPr>
          <w:b/>
          <w:color w:val="000000"/>
        </w:rPr>
      </w:pPr>
    </w:p>
    <w:p w:rsidR="00BA6ABF" w:rsidRDefault="00E407B0" w:rsidP="00E407B0">
      <w:pPr>
        <w:tabs>
          <w:tab w:val="left" w:pos="464"/>
        </w:tabs>
        <w:jc w:val="both"/>
        <w:rPr>
          <w:color w:val="000000"/>
        </w:rPr>
      </w:pPr>
      <w:r>
        <w:rPr>
          <w:color w:val="000000"/>
        </w:rPr>
        <w:tab/>
      </w:r>
      <w:r w:rsidR="005E012D">
        <w:rPr>
          <w:color w:val="000000"/>
        </w:rPr>
        <w:t>Šlechtitelský program z</w:t>
      </w:r>
      <w:r w:rsidR="00BA6ABF">
        <w:rPr>
          <w:color w:val="000000"/>
        </w:rPr>
        <w:t>ahrnuje všechna opatření, která směřují k zajištění chov</w:t>
      </w:r>
      <w:r>
        <w:rPr>
          <w:color w:val="000000"/>
        </w:rPr>
        <w:t xml:space="preserve">ného cíle. Jedná se o tato </w:t>
      </w:r>
      <w:r w:rsidR="00BA6ABF">
        <w:rPr>
          <w:color w:val="000000"/>
        </w:rPr>
        <w:t>systémová opatření:</w:t>
      </w:r>
    </w:p>
    <w:p w:rsidR="00BA6ABF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>Informační systém údajů o zvířatech</w:t>
      </w:r>
    </w:p>
    <w:p w:rsidR="00BA6ABF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>Označování a identifikace zvířat</w:t>
      </w:r>
    </w:p>
    <w:p w:rsidR="00BA6ABF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>Evidence, registrace a ověřování původu zvířat</w:t>
      </w:r>
    </w:p>
    <w:p w:rsidR="00BA6ABF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>Kontrola užitkovosti (vlastnosti produkční - růst a vývin, vlastnosti reprodukční – samčí a samičí plodnost a dlouhověkost, kontrola /dědičnosti/zdraví)</w:t>
      </w:r>
    </w:p>
    <w:p w:rsidR="00BA6ABF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>Kontrola výkonnosti (zkušební systém – zkoušky výkonnosti a případná sportovní výkonnost)</w:t>
      </w:r>
    </w:p>
    <w:p w:rsidR="00BA6ABF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Popis, evidence a vyhodnocení znaků lineárního popisu </w:t>
      </w:r>
    </w:p>
    <w:p w:rsidR="00BA6ABF" w:rsidRPr="00EE5F02" w:rsidRDefault="00BA6ABF" w:rsidP="00E407B0">
      <w:pPr>
        <w:numPr>
          <w:ilvl w:val="0"/>
          <w:numId w:val="3"/>
        </w:numPr>
        <w:tabs>
          <w:tab w:val="left" w:pos="900"/>
        </w:tabs>
        <w:suppressAutoHyphens/>
        <w:jc w:val="both"/>
        <w:rPr>
          <w:color w:val="000000"/>
        </w:rPr>
      </w:pPr>
      <w:r>
        <w:rPr>
          <w:color w:val="000000"/>
        </w:rPr>
        <w:t>Selekce</w:t>
      </w:r>
    </w:p>
    <w:p w:rsidR="00E407B0" w:rsidRDefault="006D36EF" w:rsidP="00E407B0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Všechna tato opatření byla v průběhu roku 2018 pečlivě dodržována a sledována Radou plemenné knihy</w:t>
      </w:r>
      <w:r w:rsidR="00E407B0">
        <w:rPr>
          <w:color w:val="000000"/>
        </w:rPr>
        <w:t xml:space="preserve">. </w:t>
      </w:r>
    </w:p>
    <w:p w:rsidR="006D36EF" w:rsidRDefault="006D36EF" w:rsidP="000E3C9F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 w:rsidRPr="000E3C9F">
        <w:rPr>
          <w:color w:val="000000"/>
        </w:rPr>
        <w:t>Informace o jednotlivých koních jsou shromažďovány a evidovány v</w:t>
      </w:r>
      <w:r w:rsidR="00E407B0" w:rsidRPr="000E3C9F">
        <w:rPr>
          <w:color w:val="000000"/>
        </w:rPr>
        <w:t xml:space="preserve"> Ústřední </w:t>
      </w:r>
      <w:r w:rsidRPr="000E3C9F">
        <w:rPr>
          <w:color w:val="000000"/>
        </w:rPr>
        <w:t>evidenci koní ve Slatiňanech.</w:t>
      </w:r>
    </w:p>
    <w:p w:rsidR="00E407B0" w:rsidRDefault="00E407B0" w:rsidP="00E407B0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 w:rsidRPr="000E3C9F">
        <w:rPr>
          <w:color w:val="000000"/>
        </w:rPr>
        <w:t xml:space="preserve">Označování a identifikace zvířat probíhá v souladu s platnou legislativou a je zajišťována na základě smlouvy ASCHK a organizace </w:t>
      </w:r>
      <w:proofErr w:type="spellStart"/>
      <w:r w:rsidRPr="000E3C9F">
        <w:rPr>
          <w:color w:val="000000"/>
        </w:rPr>
        <w:t>Equiservis</w:t>
      </w:r>
      <w:proofErr w:type="spellEnd"/>
      <w:r w:rsidRPr="000E3C9F">
        <w:rPr>
          <w:color w:val="000000"/>
        </w:rPr>
        <w:t xml:space="preserve"> </w:t>
      </w:r>
      <w:proofErr w:type="spellStart"/>
      <w:r w:rsidR="004C01D2">
        <w:rPr>
          <w:color w:val="000000"/>
        </w:rPr>
        <w:t>konzulent</w:t>
      </w:r>
      <w:proofErr w:type="spellEnd"/>
      <w:r w:rsidR="004C01D2">
        <w:rPr>
          <w:color w:val="000000"/>
        </w:rPr>
        <w:t xml:space="preserve"> </w:t>
      </w:r>
      <w:r w:rsidRPr="000E3C9F">
        <w:rPr>
          <w:color w:val="000000"/>
        </w:rPr>
        <w:t>s.r.o.</w:t>
      </w:r>
    </w:p>
    <w:p w:rsidR="00E407B0" w:rsidRDefault="00E407B0" w:rsidP="00E407B0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 w:rsidRPr="000E3C9F">
        <w:rPr>
          <w:color w:val="000000"/>
        </w:rPr>
        <w:t>Evidence a registrace zvířat probíhá ve spolupráci s</w:t>
      </w:r>
      <w:r w:rsidR="000E3C9F" w:rsidRPr="000E3C9F">
        <w:rPr>
          <w:color w:val="000000"/>
        </w:rPr>
        <w:t> </w:t>
      </w:r>
      <w:r w:rsidRPr="000E3C9F">
        <w:rPr>
          <w:color w:val="000000"/>
        </w:rPr>
        <w:t>ÚEK</w:t>
      </w:r>
      <w:r w:rsidR="000E3C9F" w:rsidRPr="000E3C9F">
        <w:rPr>
          <w:color w:val="000000"/>
        </w:rPr>
        <w:t>.</w:t>
      </w:r>
    </w:p>
    <w:p w:rsidR="000E3C9F" w:rsidRDefault="000E3C9F" w:rsidP="00E407B0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 w:rsidRPr="000E3C9F">
        <w:rPr>
          <w:color w:val="000000"/>
        </w:rPr>
        <w:t>Kontrola užitkových vlastností probíhá z hlediska růstu a vývinu při zápisu klisen a hřebců do plemenné knihy na základě zjištění základních tělesných rozměrů při zápisu do PK a na základě lineárního popisu exteriéru a souhrnných charakteristik zevnějšku hodnocených pomocí bodového systému v rozsahu 10 bodové stupnice.</w:t>
      </w:r>
      <w:r>
        <w:rPr>
          <w:color w:val="000000"/>
        </w:rPr>
        <w:t xml:space="preserve"> Reprodukční vlastnosti jsou vyhodnocovány u hřebců prostřednictvím počtu zapuštěných klisen a u klisen počtem narozených hříbat z počtu zapuštěných klisen. Dlouhověkost klisen a hřebců je posuzována podle podílu zvířat v jednotlivých věkových kategoriích. Kontrola zdraví a dědičnosti zdraví se soustřeďuje na shromažďování podkladů o výskytu </w:t>
      </w:r>
      <w:r w:rsidR="00620903">
        <w:rPr>
          <w:color w:val="000000"/>
        </w:rPr>
        <w:t>významných nedostatků zevnějšku (viz lineární popis a seznam vad zevnějšku) a rozhodující pozornost je věnována výskytu letní vyrážky.</w:t>
      </w:r>
    </w:p>
    <w:p w:rsidR="00620903" w:rsidRDefault="00620903" w:rsidP="00E407B0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>Kontrola výkonnosti je zajišťována prostřednictvím výkonnostních zkoušek hřebců a klisen, jejichž průběh a výkonnost jednotlivých koní posuzují členové Rady plemenné knihy.</w:t>
      </w:r>
    </w:p>
    <w:p w:rsidR="00620903" w:rsidRDefault="00620903" w:rsidP="00E407B0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 xml:space="preserve">Lineární popis klisen zajišťují pracovníci </w:t>
      </w:r>
      <w:r w:rsidR="004C01D2">
        <w:rPr>
          <w:color w:val="000000"/>
        </w:rPr>
        <w:t xml:space="preserve">firmy </w:t>
      </w:r>
      <w:proofErr w:type="spellStart"/>
      <w:r>
        <w:rPr>
          <w:color w:val="000000"/>
        </w:rPr>
        <w:t>Equiservis</w:t>
      </w:r>
      <w:proofErr w:type="spellEnd"/>
      <w:r w:rsidR="004C01D2">
        <w:rPr>
          <w:color w:val="000000"/>
        </w:rPr>
        <w:t xml:space="preserve"> </w:t>
      </w:r>
      <w:proofErr w:type="spellStart"/>
      <w:r w:rsidR="004C01D2">
        <w:rPr>
          <w:color w:val="000000"/>
        </w:rPr>
        <w:t>konzulent</w:t>
      </w:r>
      <w:proofErr w:type="spellEnd"/>
      <w:r w:rsidR="004C01D2">
        <w:rPr>
          <w:color w:val="000000"/>
        </w:rPr>
        <w:t xml:space="preserve"> s.r.o.</w:t>
      </w:r>
      <w:r w:rsidR="00376D17">
        <w:rPr>
          <w:color w:val="000000"/>
        </w:rPr>
        <w:t>.</w:t>
      </w:r>
      <w:r>
        <w:rPr>
          <w:color w:val="000000"/>
        </w:rPr>
        <w:t xml:space="preserve"> </w:t>
      </w:r>
    </w:p>
    <w:p w:rsidR="00376D17" w:rsidRDefault="00376D17" w:rsidP="00E407B0">
      <w:pPr>
        <w:pStyle w:val="Odstavecseseznamem"/>
        <w:numPr>
          <w:ilvl w:val="0"/>
          <w:numId w:val="4"/>
        </w:num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>Selekce probíhá v populaci klisen v zásadě pouze zdravotní. Hřebci jsou selektováni při výběru do odchoven hřebců na základě zevnějšku a stupně vývinu při nákupu do odchovny a na základě růstu, zevnějšku a výkonnosti při základních výkonnostních zkouškách.</w:t>
      </w:r>
      <w:r w:rsidR="005E012D">
        <w:rPr>
          <w:color w:val="000000"/>
        </w:rPr>
        <w:t xml:space="preserve"> U plemenných koní je hodnocen plemenný typ a pohlavní výraz, rodokmen, stavba těla, výkonnost, zdravotní stav </w:t>
      </w:r>
      <w:r w:rsidR="005E012D" w:rsidRPr="00B81D92">
        <w:rPr>
          <w:color w:val="000000"/>
        </w:rPr>
        <w:t>a charakter.</w:t>
      </w:r>
      <w:r>
        <w:rPr>
          <w:color w:val="000000"/>
        </w:rPr>
        <w:t xml:space="preserve"> Po předvýběru realizovaném Radou plemenné knihy jsou vybraní hřebci naskladněni do 60 denního testu v ZH Tlumačov, kde je posuzován </w:t>
      </w:r>
      <w:r w:rsidR="00C14870">
        <w:rPr>
          <w:color w:val="000000"/>
        </w:rPr>
        <w:t xml:space="preserve">růst, vývin, průběh výcviku, charakter, temperament, konstituce, krmitelnost, pracovní ochota a učenlivost a užitkové vlastnosti při zkušebních disciplínách </w:t>
      </w:r>
      <w:r>
        <w:rPr>
          <w:color w:val="000000"/>
        </w:rPr>
        <w:t>a při závěrečných zkouškách posuzuje komise složená z členů Rad plemenné knihy jednotlivých chladnokrevných plemen</w:t>
      </w:r>
      <w:r w:rsidR="005E012D">
        <w:rPr>
          <w:color w:val="000000"/>
        </w:rPr>
        <w:t xml:space="preserve"> úrove</w:t>
      </w:r>
      <w:r w:rsidR="00C14870">
        <w:rPr>
          <w:color w:val="000000"/>
        </w:rPr>
        <w:t>ň výkonnosti po 60 denním testu v souladu se zkušebním řádem.</w:t>
      </w:r>
    </w:p>
    <w:p w:rsidR="00C14870" w:rsidRDefault="00C14870" w:rsidP="00C14870">
      <w:pPr>
        <w:tabs>
          <w:tab w:val="left" w:pos="900"/>
        </w:tabs>
        <w:jc w:val="both"/>
        <w:rPr>
          <w:color w:val="000000"/>
        </w:rPr>
      </w:pPr>
    </w:p>
    <w:p w:rsidR="002D6F20" w:rsidRDefault="00045B50" w:rsidP="00C14870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 w:rsidR="002D6F20">
        <w:rPr>
          <w:color w:val="000000"/>
        </w:rPr>
        <w:t>Hodnoty uvedené v tabulce 2 ukazují srovnání vývoje početních stavů</w:t>
      </w:r>
      <w:r>
        <w:rPr>
          <w:color w:val="000000"/>
        </w:rPr>
        <w:t xml:space="preserve"> všech tří domácích chladnokrevných plemen, pro která je v České republice vedena plemenná kniha. Souhrnné údaje uvedené v posledním řádku tabulky ukazují na pokles počtu chladnokrevných koní v letech 2006 až 2015 a v posledních dvou uvedených letech došlo ke stabilizaci počtu chovaných koní. </w:t>
      </w:r>
    </w:p>
    <w:p w:rsidR="00045B50" w:rsidRDefault="00045B50" w:rsidP="00C14870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  <w:t xml:space="preserve">Zajímavé jsou rozdíly ve vývoji počtu u jednotlivých plemen. Všechna chovaná chladnokrevná plemena kopírují tento trend a dochází u nich k poklesu do roku 2015 a v posledním období je zřejmá stabilizace počtu. Poslední sloupec v tabulce však ukazuje srovnání stavů v roce 2019 oproti stavu v roce 2006. Uvedená procenta ukazují, že u českomoravských </w:t>
      </w:r>
      <w:proofErr w:type="spellStart"/>
      <w:r>
        <w:rPr>
          <w:color w:val="000000"/>
        </w:rPr>
        <w:t>belgiků</w:t>
      </w:r>
      <w:proofErr w:type="spellEnd"/>
      <w:r>
        <w:rPr>
          <w:color w:val="000000"/>
        </w:rPr>
        <w:t xml:space="preserve"> došlo k mírnému poklesu a současný stav představuje 83,23 </w:t>
      </w:r>
      <w:r w:rsidR="00CC63E2">
        <w:rPr>
          <w:color w:val="000000"/>
        </w:rPr>
        <w:t>%</w:t>
      </w:r>
      <w:r>
        <w:rPr>
          <w:color w:val="000000"/>
        </w:rPr>
        <w:t xml:space="preserve"> stavů v roce 2006. U druhého chladnokrevného plemena</w:t>
      </w:r>
      <w:r w:rsidR="00CC63E2">
        <w:rPr>
          <w:color w:val="000000"/>
        </w:rPr>
        <w:t>,</w:t>
      </w:r>
      <w:r>
        <w:rPr>
          <w:color w:val="000000"/>
        </w:rPr>
        <w:t xml:space="preserve"> které je zařazeno do genetických živočišných zdrojů</w:t>
      </w:r>
      <w:r w:rsidR="00CC63E2">
        <w:rPr>
          <w:color w:val="000000"/>
        </w:rPr>
        <w:t>, slezského norika je situace velmi příznivá a současný počet chovaných koní představuje 151,63% stavu v roce 2006, což znamená, že došlo za posledních 13 let k výraznému nárůstu. U norických koní je ale situace opačná a je možné ji označit za kritickou. Počet evidovaných koní tohoto plemene činí pouze 62,05 % stavů v roce 2006. Tento pokles je způsoben především dvěma faktory:</w:t>
      </w:r>
    </w:p>
    <w:p w:rsidR="00CC63E2" w:rsidRDefault="00CC63E2" w:rsidP="00CC63E2">
      <w:pPr>
        <w:pStyle w:val="Odstavecseseznamem"/>
        <w:numPr>
          <w:ilvl w:val="1"/>
          <w:numId w:val="4"/>
        </w:num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lastRenderedPageBreak/>
        <w:t>Norický kůň není podporován jako genetický zdroj a v důsledku toho je přibližně o 12 000 Kč nižší tržba chovatele klisny při prodeji hříběte.</w:t>
      </w:r>
    </w:p>
    <w:p w:rsidR="00CC63E2" w:rsidRDefault="00CC63E2" w:rsidP="00CC63E2">
      <w:pPr>
        <w:pStyle w:val="Odstavecseseznamem"/>
        <w:numPr>
          <w:ilvl w:val="1"/>
          <w:numId w:val="4"/>
        </w:num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>Až do roku 2012 bylo možné (a dokonce bylo často doporučováno) zapouštět norické klisny slezskými hřebci a zapisovat narozené hříbě do plemenné knihy slezského norika. V roce 2012 došlo k oddělení obou plemenných knih a narozené hříbě je zapisováno do stejné plemenné knihy jako jeho matka.</w:t>
      </w:r>
    </w:p>
    <w:p w:rsidR="00CC63E2" w:rsidRPr="00CC63E2" w:rsidRDefault="00CC63E2" w:rsidP="00CC63E2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</w:r>
      <w:r w:rsidRPr="00CC63E2">
        <w:rPr>
          <w:color w:val="000000"/>
        </w:rPr>
        <w:t xml:space="preserve"> </w:t>
      </w:r>
    </w:p>
    <w:p w:rsidR="002D6F20" w:rsidRDefault="002D6F20" w:rsidP="002D6F20">
      <w:pPr>
        <w:jc w:val="center"/>
      </w:pPr>
      <w:r>
        <w:t>Tabulka 2: Vývoj počtu chovaných koní chladnokrevných plemen v letech 2006 až 2019</w:t>
      </w:r>
    </w:p>
    <w:p w:rsidR="002D6F20" w:rsidRDefault="002D6F20" w:rsidP="002D6F20">
      <w:pPr>
        <w:jc w:val="center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179"/>
        <w:gridCol w:w="1273"/>
        <w:gridCol w:w="1273"/>
        <w:gridCol w:w="1274"/>
        <w:gridCol w:w="1274"/>
        <w:gridCol w:w="1287"/>
        <w:gridCol w:w="1394"/>
      </w:tblGrid>
      <w:tr w:rsidR="002D6F20" w:rsidTr="002D6F20">
        <w:tc>
          <w:tcPr>
            <w:tcW w:w="1186" w:type="dxa"/>
          </w:tcPr>
          <w:p w:rsidR="002D6F20" w:rsidRDefault="002D6F20" w:rsidP="004E2686">
            <w:pPr>
              <w:jc w:val="center"/>
            </w:pP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2006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2010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2015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2018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1.1.2019</w:t>
            </w:r>
          </w:p>
        </w:tc>
        <w:tc>
          <w:tcPr>
            <w:tcW w:w="1413" w:type="dxa"/>
          </w:tcPr>
          <w:p w:rsidR="002D6F20" w:rsidRDefault="002D6F20" w:rsidP="004E2686">
            <w:pPr>
              <w:jc w:val="center"/>
            </w:pPr>
            <w:r>
              <w:t>% 19/06</w:t>
            </w:r>
          </w:p>
        </w:tc>
      </w:tr>
      <w:tr w:rsidR="002D6F20" w:rsidTr="002D6F20">
        <w:tc>
          <w:tcPr>
            <w:tcW w:w="1186" w:type="dxa"/>
          </w:tcPr>
          <w:p w:rsidR="002D6F20" w:rsidRDefault="002D6F20" w:rsidP="004E2686">
            <w:pPr>
              <w:jc w:val="center"/>
            </w:pPr>
            <w:r>
              <w:t>ČMB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2362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2305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1837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1960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1966</w:t>
            </w:r>
          </w:p>
        </w:tc>
        <w:tc>
          <w:tcPr>
            <w:tcW w:w="1413" w:type="dxa"/>
          </w:tcPr>
          <w:p w:rsidR="002D6F20" w:rsidRDefault="002D6F20" w:rsidP="004E2686">
            <w:pPr>
              <w:jc w:val="center"/>
            </w:pPr>
            <w:r>
              <w:t>83,23</w:t>
            </w:r>
          </w:p>
        </w:tc>
      </w:tr>
      <w:tr w:rsidR="002D6F20" w:rsidTr="002D6F20">
        <w:tc>
          <w:tcPr>
            <w:tcW w:w="1186" w:type="dxa"/>
          </w:tcPr>
          <w:p w:rsidR="002D6F20" w:rsidRDefault="002D6F20" w:rsidP="004E2686">
            <w:pPr>
              <w:jc w:val="center"/>
            </w:pPr>
            <w:r>
              <w:t>N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2219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2042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1306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1403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1377</w:t>
            </w:r>
          </w:p>
        </w:tc>
        <w:tc>
          <w:tcPr>
            <w:tcW w:w="1413" w:type="dxa"/>
          </w:tcPr>
          <w:p w:rsidR="002D6F20" w:rsidRDefault="002D6F20" w:rsidP="004E2686">
            <w:pPr>
              <w:jc w:val="center"/>
            </w:pPr>
            <w:r>
              <w:t>62,05</w:t>
            </w:r>
          </w:p>
        </w:tc>
      </w:tr>
      <w:tr w:rsidR="002D6F20" w:rsidTr="002D6F20">
        <w:tc>
          <w:tcPr>
            <w:tcW w:w="1186" w:type="dxa"/>
          </w:tcPr>
          <w:p w:rsidR="002D6F20" w:rsidRDefault="002D6F20" w:rsidP="004E2686">
            <w:pPr>
              <w:jc w:val="center"/>
            </w:pPr>
            <w:r>
              <w:t>SN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854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1091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1135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1250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1294</w:t>
            </w:r>
          </w:p>
        </w:tc>
        <w:tc>
          <w:tcPr>
            <w:tcW w:w="1413" w:type="dxa"/>
          </w:tcPr>
          <w:p w:rsidR="002D6F20" w:rsidRDefault="002D6F20" w:rsidP="004E2686">
            <w:pPr>
              <w:jc w:val="center"/>
            </w:pPr>
            <w:r>
              <w:t>151,63</w:t>
            </w:r>
          </w:p>
        </w:tc>
      </w:tr>
      <w:tr w:rsidR="002D6F20" w:rsidTr="002D6F20">
        <w:tc>
          <w:tcPr>
            <w:tcW w:w="1186" w:type="dxa"/>
          </w:tcPr>
          <w:p w:rsidR="002D6F20" w:rsidRDefault="002D6F20" w:rsidP="004E2686">
            <w:pPr>
              <w:jc w:val="center"/>
            </w:pPr>
            <w:r>
              <w:t>Celkem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5435</w:t>
            </w:r>
          </w:p>
        </w:tc>
        <w:tc>
          <w:tcPr>
            <w:tcW w:w="1294" w:type="dxa"/>
          </w:tcPr>
          <w:p w:rsidR="002D6F20" w:rsidRDefault="002D6F20" w:rsidP="004E2686">
            <w:pPr>
              <w:jc w:val="center"/>
            </w:pPr>
            <w:r>
              <w:t>5438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4278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4613</w:t>
            </w:r>
          </w:p>
        </w:tc>
        <w:tc>
          <w:tcPr>
            <w:tcW w:w="1295" w:type="dxa"/>
          </w:tcPr>
          <w:p w:rsidR="002D6F20" w:rsidRDefault="002D6F20" w:rsidP="004E2686">
            <w:pPr>
              <w:jc w:val="center"/>
            </w:pPr>
            <w:r>
              <w:t>4637</w:t>
            </w:r>
          </w:p>
        </w:tc>
        <w:tc>
          <w:tcPr>
            <w:tcW w:w="1413" w:type="dxa"/>
          </w:tcPr>
          <w:p w:rsidR="002D6F20" w:rsidRDefault="002D6F20" w:rsidP="004E2686">
            <w:pPr>
              <w:jc w:val="center"/>
            </w:pPr>
            <w:r>
              <w:t>85,31</w:t>
            </w:r>
          </w:p>
        </w:tc>
      </w:tr>
    </w:tbl>
    <w:p w:rsidR="002D6F20" w:rsidRDefault="002D6F20" w:rsidP="002D6F20">
      <w:pPr>
        <w:tabs>
          <w:tab w:val="left" w:pos="900"/>
        </w:tabs>
        <w:jc w:val="both"/>
        <w:rPr>
          <w:color w:val="000000"/>
        </w:rPr>
      </w:pPr>
    </w:p>
    <w:p w:rsidR="002D6F20" w:rsidRDefault="002D6F20" w:rsidP="00C14870">
      <w:pPr>
        <w:tabs>
          <w:tab w:val="left" w:pos="900"/>
        </w:tabs>
        <w:jc w:val="both"/>
        <w:rPr>
          <w:color w:val="000000"/>
        </w:rPr>
      </w:pPr>
    </w:p>
    <w:p w:rsidR="002D6F20" w:rsidRDefault="00250A60" w:rsidP="00C14870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  <w:t xml:space="preserve">Přesto, že v posledních letech je zřejmá stabilizace stavů norických koní, současný počet evidovaných koní a především současný počet narozených hříbat nezajišťuje odpovídající životaschopnost populace norických koní v České republice. </w:t>
      </w:r>
      <w:r w:rsidRPr="00CC63E2">
        <w:rPr>
          <w:color w:val="000000"/>
        </w:rPr>
        <w:t xml:space="preserve"> </w:t>
      </w:r>
      <w:r w:rsidR="002D6A52">
        <w:rPr>
          <w:color w:val="000000"/>
        </w:rPr>
        <w:t>V roce 2018 je evidováno 44 narozených hříbat což naznačuje zlepšující se trend (v roce minulém to bylo dokonce 56). Počet klisen zařazených do chovu ve vztahu k počtu narozených hříbat ukazuje, že v chovu norických koní prakticky v samičí populaci nedochází k žádné selekci a jsou do chovu zařazovány téměř všechny klisny schopné reprodukce. Tak 7 hřebců zařazených v roce 2018 je třeba považovat za výjimečný. V předcházejících létech</w:t>
      </w:r>
      <w:r w:rsidR="00100657">
        <w:rPr>
          <w:color w:val="000000"/>
        </w:rPr>
        <w:t xml:space="preserve"> byl tento počet podstatně menší. Vzhledem ke skutečnosti, že norická plemenná kniha je otevřená, nepředstavuje však tato skutečnost žádné nebezpečí pro další rozvoj plemene. Daleko závažnější je skutečnost vycházející z počtu narozených hříbat. Při průměrné natalitě kolem 50% lze očekávat, že bylo v roce 2017 zapuštěno kolem 90 klisen, což představuje přibližně každou šestou klisnu z počtu klisen schopných reprodukce. Neúspěšnost zapouštění znamená, že je z populace klisen reprodukčně aktivní pouze každá dvanáctá klisna, nebo jinak řečeno, má průměrná norická</w:t>
      </w:r>
      <w:r w:rsidR="00EE5F02">
        <w:rPr>
          <w:color w:val="000000"/>
        </w:rPr>
        <w:t xml:space="preserve"> </w:t>
      </w:r>
      <w:r w:rsidR="00100657">
        <w:rPr>
          <w:color w:val="000000"/>
        </w:rPr>
        <w:t>klisna</w:t>
      </w:r>
      <w:r w:rsidR="00EE5F02">
        <w:rPr>
          <w:color w:val="000000"/>
        </w:rPr>
        <w:t xml:space="preserve"> zdravé hříbě jednou za 12 let. Pokud se poprvé ohřebí ve 4 letech a dožije se v průměru 20 let, lze od ní očekávat průměrně 1,3 hříběte za život, což v žádném případě nezajistí reprodukci stáda a už vůbec nelze uvažovat o selekci jako základním chovatelském opatření. Rada plemenné knihy norika se proto snaží tuto nepříznivou situaci změnit.</w:t>
      </w:r>
    </w:p>
    <w:p w:rsidR="002D6F20" w:rsidRPr="00C14870" w:rsidRDefault="002D6F20" w:rsidP="00C14870">
      <w:pPr>
        <w:tabs>
          <w:tab w:val="left" w:pos="900"/>
        </w:tabs>
        <w:jc w:val="both"/>
        <w:rPr>
          <w:color w:val="000000"/>
        </w:rPr>
      </w:pPr>
    </w:p>
    <w:p w:rsidR="002D6F20" w:rsidRDefault="002D6F20" w:rsidP="00E407B0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</w:r>
      <w:r w:rsidR="00250A60">
        <w:rPr>
          <w:color w:val="000000"/>
        </w:rPr>
        <w:t xml:space="preserve">Tabulka 3: </w:t>
      </w:r>
      <w:r>
        <w:rPr>
          <w:color w:val="000000"/>
        </w:rPr>
        <w:t>Aktuální vývoj populace norických koní v letech 2015 až 2018:</w:t>
      </w:r>
    </w:p>
    <w:p w:rsidR="002D6F20" w:rsidRDefault="002D6F20" w:rsidP="00E407B0">
      <w:pPr>
        <w:tabs>
          <w:tab w:val="left" w:pos="900"/>
        </w:tabs>
        <w:jc w:val="both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54"/>
        <w:gridCol w:w="1672"/>
        <w:gridCol w:w="1673"/>
        <w:gridCol w:w="1535"/>
        <w:gridCol w:w="1428"/>
      </w:tblGrid>
      <w:tr w:rsidR="002D6F20" w:rsidTr="002D6F20">
        <w:tc>
          <w:tcPr>
            <w:tcW w:w="2802" w:type="dxa"/>
          </w:tcPr>
          <w:p w:rsidR="002D6F20" w:rsidRDefault="002D6F20" w:rsidP="00E407B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kategorie</w:t>
            </w:r>
          </w:p>
        </w:tc>
        <w:tc>
          <w:tcPr>
            <w:tcW w:w="1701" w:type="dxa"/>
          </w:tcPr>
          <w:p w:rsidR="002D6F20" w:rsidRDefault="002D6F2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:rsidR="002D6F20" w:rsidRDefault="002D6F2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559" w:type="dxa"/>
          </w:tcPr>
          <w:p w:rsidR="002D6F20" w:rsidRDefault="002D6F2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49" w:type="dxa"/>
          </w:tcPr>
          <w:p w:rsidR="002D6F20" w:rsidRDefault="002D6F2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2D6F20" w:rsidTr="002D6F20">
        <w:tc>
          <w:tcPr>
            <w:tcW w:w="2802" w:type="dxa"/>
          </w:tcPr>
          <w:p w:rsidR="002D6F20" w:rsidRDefault="002D6F20" w:rsidP="00E407B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Narozená hříbata</w:t>
            </w:r>
          </w:p>
        </w:tc>
        <w:tc>
          <w:tcPr>
            <w:tcW w:w="1701" w:type="dxa"/>
          </w:tcPr>
          <w:p w:rsidR="002D6F20" w:rsidRDefault="002D6A52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</w:tcPr>
          <w:p w:rsidR="002D6F20" w:rsidRDefault="002D6A52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59" w:type="dxa"/>
          </w:tcPr>
          <w:p w:rsidR="002D6F20" w:rsidRDefault="002D6A52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49" w:type="dxa"/>
          </w:tcPr>
          <w:p w:rsidR="002D6F20" w:rsidRDefault="002D6A52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2D6F20" w:rsidTr="002D6F20">
        <w:tc>
          <w:tcPr>
            <w:tcW w:w="2802" w:type="dxa"/>
          </w:tcPr>
          <w:p w:rsidR="002D6F20" w:rsidRDefault="002D6F20" w:rsidP="00E407B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Zařazené klisny</w:t>
            </w:r>
          </w:p>
        </w:tc>
        <w:tc>
          <w:tcPr>
            <w:tcW w:w="1701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D6F20" w:rsidTr="002D6F20">
        <w:tc>
          <w:tcPr>
            <w:tcW w:w="2802" w:type="dxa"/>
          </w:tcPr>
          <w:p w:rsidR="002D6F20" w:rsidRDefault="002D6F20" w:rsidP="00E407B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Zařazení hřebci</w:t>
            </w:r>
          </w:p>
        </w:tc>
        <w:tc>
          <w:tcPr>
            <w:tcW w:w="1701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9" w:type="dxa"/>
          </w:tcPr>
          <w:p w:rsidR="002D6F20" w:rsidRDefault="00250A60" w:rsidP="00EE5F0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E407B0" w:rsidRDefault="00E407B0" w:rsidP="00E407B0">
      <w:pPr>
        <w:tabs>
          <w:tab w:val="left" w:pos="900"/>
        </w:tabs>
        <w:jc w:val="both"/>
        <w:rPr>
          <w:color w:val="000000"/>
        </w:rPr>
      </w:pPr>
    </w:p>
    <w:p w:rsidR="006D36EF" w:rsidRDefault="006D36EF" w:rsidP="00E407B0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</w:r>
    </w:p>
    <w:p w:rsidR="006D36EF" w:rsidRDefault="006D36EF" w:rsidP="00BA6ABF">
      <w:pPr>
        <w:tabs>
          <w:tab w:val="left" w:pos="900"/>
        </w:tabs>
        <w:jc w:val="both"/>
        <w:rPr>
          <w:color w:val="000000"/>
        </w:rPr>
      </w:pPr>
    </w:p>
    <w:p w:rsidR="00BA6ABF" w:rsidRDefault="00BA6ABF"/>
    <w:sectPr w:rsidR="00BA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F0E0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AA"/>
    <w:rsid w:val="00045B50"/>
    <w:rsid w:val="000E3C9F"/>
    <w:rsid w:val="00100657"/>
    <w:rsid w:val="002278AA"/>
    <w:rsid w:val="00250A60"/>
    <w:rsid w:val="00285522"/>
    <w:rsid w:val="002C63B8"/>
    <w:rsid w:val="002D6A52"/>
    <w:rsid w:val="002D6F20"/>
    <w:rsid w:val="00376D17"/>
    <w:rsid w:val="004C01D2"/>
    <w:rsid w:val="005E012D"/>
    <w:rsid w:val="00620903"/>
    <w:rsid w:val="006D36EF"/>
    <w:rsid w:val="00785A39"/>
    <w:rsid w:val="007877D9"/>
    <w:rsid w:val="00BA6ABF"/>
    <w:rsid w:val="00C14870"/>
    <w:rsid w:val="00CC63E2"/>
    <w:rsid w:val="00CF35B1"/>
    <w:rsid w:val="00D84898"/>
    <w:rsid w:val="00E407B0"/>
    <w:rsid w:val="00E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24C1-F0DC-4FE6-9D0C-7046771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522"/>
  </w:style>
  <w:style w:type="paragraph" w:styleId="Nadpis2">
    <w:name w:val="heading 2"/>
    <w:basedOn w:val="Normln"/>
    <w:next w:val="Normln"/>
    <w:link w:val="Nadpis2Char"/>
    <w:qFormat/>
    <w:rsid w:val="007877D9"/>
    <w:pPr>
      <w:keepNext/>
      <w:suppressAutoHyphens/>
      <w:snapToGrid w:val="0"/>
      <w:spacing w:before="120"/>
      <w:outlineLvl w:val="1"/>
    </w:pPr>
    <w:rPr>
      <w:rFonts w:eastAsia="Times New Roman" w:cs="Courier Ne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77D9"/>
    <w:rPr>
      <w:rFonts w:eastAsia="Times New Roman" w:cs="Courier New"/>
      <w:b/>
      <w:szCs w:val="20"/>
    </w:rPr>
  </w:style>
  <w:style w:type="paragraph" w:styleId="Zkladntext">
    <w:name w:val="Body Text"/>
    <w:basedOn w:val="Normln"/>
    <w:link w:val="ZkladntextChar"/>
    <w:rsid w:val="007877D9"/>
    <w:pPr>
      <w:suppressAutoHyphens/>
      <w:snapToGrid w:val="0"/>
      <w:spacing w:before="120"/>
      <w:jc w:val="both"/>
    </w:pPr>
    <w:rPr>
      <w:rFonts w:eastAsia="Times New Roman" w:cs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7877D9"/>
    <w:rPr>
      <w:rFonts w:eastAsia="Times New Roman" w:cs="Courier New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6A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6ABF"/>
  </w:style>
  <w:style w:type="paragraph" w:styleId="Odstavecseseznamem">
    <w:name w:val="List Paragraph"/>
    <w:basedOn w:val="Normln"/>
    <w:uiPriority w:val="34"/>
    <w:qFormat/>
    <w:rsid w:val="000E3C9F"/>
    <w:pPr>
      <w:ind w:left="720"/>
      <w:contextualSpacing/>
    </w:pPr>
  </w:style>
  <w:style w:type="table" w:styleId="Mkatabulky">
    <w:name w:val="Table Grid"/>
    <w:basedOn w:val="Normlntabulka"/>
    <w:uiPriority w:val="39"/>
    <w:rsid w:val="002D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Marsalek</dc:creator>
  <cp:lastModifiedBy>Slavek</cp:lastModifiedBy>
  <cp:revision>2</cp:revision>
  <dcterms:created xsi:type="dcterms:W3CDTF">2019-06-27T07:14:00Z</dcterms:created>
  <dcterms:modified xsi:type="dcterms:W3CDTF">2019-06-27T07:14:00Z</dcterms:modified>
</cp:coreProperties>
</file>